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69f71a3f74d5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35564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ŠKABRNJA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391.289,42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609.084,95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306.347,05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323.419,33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84.942,37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285.665,62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47.027,57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435.660,76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37.025,64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431.460,76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1165,3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146.019,00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prihoda i primitaka u ukupnom iznosu od 146.019€, koji je rezultat većih rashoda poslovanja i nabave nefinancijske imovine u odnosu na ostvarene prihode i primitke. Višak prihoda poslovanja iznosi 285.665,62€, a manjak od nefinancijske imovine 431.460,76€. Izdaci od financijske imovine i otplatu zajmova ostvareni su u iznosu od 223,86€ i odnose se na otplatu robnog zajma. Ukupno ostvareni  prihodi iznose 609.084,95€ što je manje od planiranog te se  do kraja godine očekuje potpuna realizacija planiranog.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176.999,23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246.798,59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Prihodi po ovoj osnovi odnose se na porez  od nesamostalnog rada i  veći je u odnosu na prethodnu godinu vjerojatno zbog rasta plaća i veće zaposlenosti. , a ostvareni su u iznosu od 246.798,59€.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 ovoj osnovi odnose se na porez na kuće za odmor u iznosu od 604,83€, u prethodnoj godini nije ostvaren prihod po ovoj osnovi jer su uplate za  poreza na nekretnine u općinski proračun krenule  tek u listopadu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11.809,99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374,1</w:t>
            </w:r>
          </w:p>
        </w:tc>
      </w:tr>
    </w:tbl>
    <w:p>
      <w:pPr>
        <w:spacing w:before="0" w:after="0"/>
      </w:pPr>
    </w:p>
    <w:p>
      <w:r>
        <w:t xml:space="preserve">Prihodi po ovoj osnovi odnose se na porez na promet nekretnina te su ostvareni u iznosu od 11.809,99€ što je više u odnosu na prethodnu godinu  zbog veće prodaje nekretnina na području Općine Škabrnja, naplatu ovih poreza vrši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59.492,34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506,4</w:t>
            </w:r>
          </w:p>
        </w:tc>
      </w:tr>
    </w:tbl>
    <w:p>
      <w:pPr>
        <w:spacing w:before="0" w:after="0"/>
      </w:pPr>
    </w:p>
    <w:p>
      <w:r>
        <w:t xml:space="preserve">Prihodi po ovoj osnovi odnose se na tekuće pomoći iz državnog i županijskog proračuna te su ostvareni u iznosu od 59.492,34 €, što predstavlja povećanje u odnosu na prethodnu godinu.</w:t>
      </w:r>
    </w:p>
    <w:p>
      <w:r>
        <w:t xml:space="preserve">Prihodi se odnose na tekuće pomoći iz državnog proračuna, i to na sredstva fiskalne održivosti dječjeg vrtića u iznosu od 11.748,00 € te na pomoć za projekt „Zaželi bolji život“ u iznosu od 47.744,34 €.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 ovoj osnovi ostvareni su u iznosu od 20.000,00€  za razliku od prethodne godine kada nije bilo ovog prihoda  te se  odnose na sredstva od Ministarstva prostornog uređenja, graditeljstva i državne imovine u iznosu od 20.000,00€ za sanaciju i asfaltiranje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61.523,16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36.375,29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59,1</w:t>
            </w:r>
          </w:p>
        </w:tc>
      </w:tr>
    </w:tbl>
    <w:p>
      <w:pPr>
        <w:spacing w:before="0" w:after="0"/>
      </w:pPr>
    </w:p>
    <w:p>
      <w:r>
        <w:t xml:space="preserve">Prihodi po ovoj osnovi ostvareni su u iznosu od 36.375,29€,a odnose se u potpunosti na dobivena sredstva za projekt Zaželi-bolji život.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28.640,75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162.452,70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567,2</w:t>
            </w:r>
          </w:p>
        </w:tc>
      </w:tr>
    </w:tbl>
    <w:p>
      <w:pPr>
        <w:spacing w:before="0" w:after="0"/>
      </w:pPr>
    </w:p>
    <w:p>
      <w:r>
        <w:t xml:space="preserve">Prihodi po ovoj osnovi odnose na dobivena sredstva od Ministarstva znanosti,obrazovanja i mladih  u iznosu od 162.452,72€ za nadogradnju dječjeg vrtića Maruškica.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2512,7</w:t>
            </w:r>
          </w:p>
        </w:tc>
      </w:tr>
    </w:tbl>
    <w:p>
      <w:pPr>
        <w:spacing w:before="0" w:after="0"/>
      </w:pPr>
    </w:p>
    <w:p>
      <w:r>
        <w:t xml:space="preserve">Prihodi po ovoj osnovi odnose se na prihode ostvarene od zakupa poljoprivrednog zemljišta i naknade za legalizaciju te su ostvareni u iznosu od 2.040,03€ što je manje u odnosu na prethodnu godinu zbog više izadnih riješenja za naplatu.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23,3</w:t>
            </w:r>
          </w:p>
        </w:tc>
      </w:tr>
    </w:tbl>
    <w:p>
      <w:pPr>
        <w:spacing w:before="0" w:after="0"/>
      </w:pPr>
    </w:p>
    <w:p>
      <w:r>
        <w:t xml:space="preserve">Prihodi po  osnovi komunalnog doprinosa ostvareni u iznosu od 500,00€ što je manje u odnosu na prošlu godinu zbog manje izdanih rješenja za komunalni doprinos.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7.762,79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35,6</w:t>
            </w:r>
          </w:p>
        </w:tc>
      </w:tr>
    </w:tbl>
    <w:p>
      <w:pPr>
        <w:spacing w:before="0" w:after="0"/>
      </w:pPr>
    </w:p>
    <w:p>
      <w:r>
        <w:t xml:space="preserve">Komunalna naknada ostvarena je u iznosu od 2.765,09€ što je manje u odnosu na prethodnu godinu zbog manje uplata mještana.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83.515,11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163,4</w:t>
            </w:r>
          </w:p>
        </w:tc>
      </w:tr>
    </w:tbl>
    <w:p>
      <w:pPr>
        <w:spacing w:before="0" w:after="0"/>
      </w:pPr>
    </w:p>
    <w:p>
      <w:r>
        <w:t xml:space="preserve">Rashodi po ovoj osnovi su viši u odnosu na isto razdoblje prethodne godine jer su povećane osnovice za isplatu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5.531,40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po ovoj osnovi ostvareni su iznosu od 5.531,40€ za razliku od prošle godine kada ovaj rashod nije ostvaren,a odnosi se na isplatu jubilarne nagrade te naknada za topli obrok.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954,3</w:t>
            </w:r>
          </w:p>
        </w:tc>
      </w:tr>
    </w:tbl>
    <w:p>
      <w:pPr>
        <w:spacing w:before="0" w:after="0"/>
      </w:pPr>
    </w:p>
    <w:p>
      <w:r>
        <w:t xml:space="preserve">Rashodi po ovoj osnovi ostvareni su u iznosu od 745,85€ te su veći u odnosu na prethodnu godinu zbog većeg rashoda za smještaj na sl.putu.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15.045,59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173,6</w:t>
            </w:r>
          </w:p>
        </w:tc>
      </w:tr>
    </w:tbl>
    <w:p>
      <w:pPr>
        <w:spacing w:before="0" w:after="0"/>
      </w:pPr>
    </w:p>
    <w:p>
      <w:r>
        <w:t xml:space="preserve">Rashodi po ovoj osnovi ostvareni su u iznosu od 15.045,59€ što je više u odnosu na prethodnu godinu zbog većih troškova elekrične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221,2</w:t>
            </w:r>
          </w:p>
        </w:tc>
      </w:tr>
    </w:tbl>
    <w:p>
      <w:pPr>
        <w:spacing w:before="0" w:after="0"/>
      </w:pPr>
    </w:p>
    <w:p>
      <w:r>
        <w:t xml:space="preserve">Rashodi po ovoj osnovi su veći u odnosu na prethodnu godinu zbog većih troškova za promidžbe/ vidljivosti.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76.854,31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85.123,93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Rashodi po ovoj osnovi veći su u odnosu na prethodnu godinu zbog većeg iznosa ugovorenih sredstava temeljem javnog natječaja za udruge.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 ovoj osnovi se odnose na prodaju grobnih mjesta za razliku od prethodne godine kada ovaj prihod nije ostvaren.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44.404,50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638,5</w:t>
            </w:r>
          </w:p>
        </w:tc>
      </w:tr>
    </w:tbl>
    <w:p>
      <w:pPr>
        <w:spacing w:before="0" w:after="0"/>
      </w:pPr>
    </w:p>
    <w:p>
      <w:r>
        <w:t xml:space="preserve">Rashodi po ovoj osnovi ostvareni su u većem iznosu od prethodne godine zbog ispostavljne situacije za izgradnju padel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4.067,98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55.460,48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1363,3</w:t>
            </w:r>
          </w:p>
        </w:tc>
      </w:tr>
    </w:tbl>
    <w:p>
      <w:pPr>
        <w:spacing w:before="0" w:after="0"/>
      </w:pPr>
    </w:p>
    <w:p>
      <w:r>
        <w:t xml:space="preserve">Rashodi po ovoj osnovi ostvareni su u većem iznosu u odnosu na prethodnu godinu,a odnose se na opremanje općinske zgrade s memorijalnim centrom,za razliku od prethodne godine kada u ovom izvještajnom razdoblju  nije bilo ovih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120.356,49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 po ovoj osnovi odnosi se na rashode dodatnog ulaganja u DV Maruškica odnosno na nadogradnju jaslica.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213.517,07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ovog izvještajnog razdoblja iznosi 213.517,07€. </w:t>
      </w:r>
    </w:p>
    <w:p>
      <w:r>
        <w:t xml:space="preserve">Odnose se na obveze za rashode poslovanja,obveze za predujmove i jamčevne pologe te na obveze za nabavu nefinacijske imovine.</w:t>
      </w:r>
    </w:p>
    <w:p>
      <w:r>
        <w:t xml:space="preserve">Dospjele obveze nastale su uslijed  nedostatnog i nepravovremenog priljeva nenamjenskih sredstava iz izvora financiranja, zbog čega  njihovo podmirenje  nije bilo moguće izvršiti u izvještajnom razdoblju. Obveze će se podmiriti odmah po osiguranju potrebnih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818.698,51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ovog izvještajnog razdoblja iznosi 818.698,51€. </w:t>
      </w:r>
    </w:p>
    <w:p>
      <w:r>
        <w:t xml:space="preserve">Nedospjele obveze se najvećim djelom odnose na dugoročni kredit podignut kod HBOR-a te na obveze za rashode poslovanja kao i na obveze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Prihodovna strana izvještaja odnosi se na sljedeća dobivena sredstva:</w:t>
      </w:r>
    </w:p>
    <w:p>
      <w:r>
        <w:t xml:space="preserve">1.         36.375,29€ iz fonda pod oznakom izvora "561" za projekt Zaželi-bolji život.</w:t>
      </w:r>
    </w:p>
    <w:p>
      <w:r>
        <w:t xml:space="preserve">2.      162.452,72€ iz fonda pod oznakom izvora ''581''  za projekt nadogradnje dječjeg vrtića Maruškica/jaslice.</w:t>
      </w:r>
    </w:p>
    <w:p>
      <w:r>
        <w:t xml:space="preserve">Rashodovna strana izvješća odnosi se na rashode za projekt Zaželi (plaće, materijal, usluge promidžbe i informiranja,intelektualne usluge) </w:t>
      </w:r>
    </w:p>
    <w:p>
      <w:r>
        <w:t xml:space="preserve">te na troškove nadogradnje dječjeg vrtića.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130e9a7dae4288" /></Relationships>
</file>