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66305" w14:textId="1E10B46D" w:rsidR="003F792D" w:rsidRPr="003F792D" w:rsidRDefault="003F792D" w:rsidP="00175AD7">
      <w:pPr>
        <w:jc w:val="both"/>
        <w:rPr>
          <w:b/>
          <w:sz w:val="24"/>
          <w:szCs w:val="24"/>
          <w:lang w:val="pt-PT"/>
        </w:rPr>
      </w:pPr>
      <w:r>
        <w:rPr>
          <w:b/>
          <w:sz w:val="24"/>
          <w:szCs w:val="24"/>
          <w:lang w:val="pt-PT"/>
        </w:rPr>
        <w:t>Obrazloženje:</w:t>
      </w:r>
    </w:p>
    <w:p w14:paraId="6774EC30" w14:textId="11BF82B7" w:rsidR="002C5DB0" w:rsidRPr="00175AD7" w:rsidRDefault="002C5DB0" w:rsidP="00175AD7">
      <w:pPr>
        <w:jc w:val="both"/>
        <w:rPr>
          <w:rFonts w:ascii="Times New Roman" w:hAnsi="Times New Roman" w:cs="Times New Roman"/>
          <w:sz w:val="24"/>
          <w:szCs w:val="24"/>
        </w:rPr>
      </w:pPr>
      <w:r w:rsidRPr="00175AD7">
        <w:rPr>
          <w:rFonts w:ascii="Times New Roman" w:hAnsi="Times New Roman" w:cs="Times New Roman"/>
          <w:sz w:val="24"/>
          <w:szCs w:val="24"/>
        </w:rPr>
        <w:t>Dana 5. listopada 2023. godine stupio je na snagu Zakon o izmjenama i dopuni Zakona o lokalnim porezima, objavljen u “Narodnim novinama” br.114/23.</w:t>
      </w:r>
    </w:p>
    <w:p w14:paraId="0B95DD75" w14:textId="77777777" w:rsidR="002C5DB0" w:rsidRPr="00175AD7" w:rsidRDefault="002C5DB0" w:rsidP="00175AD7">
      <w:pPr>
        <w:jc w:val="both"/>
        <w:rPr>
          <w:rFonts w:ascii="Times New Roman" w:hAnsi="Times New Roman" w:cs="Times New Roman"/>
          <w:sz w:val="24"/>
          <w:szCs w:val="24"/>
        </w:rPr>
      </w:pPr>
      <w:r w:rsidRPr="00175AD7">
        <w:rPr>
          <w:rFonts w:ascii="Times New Roman" w:hAnsi="Times New Roman" w:cs="Times New Roman"/>
          <w:sz w:val="24"/>
          <w:szCs w:val="24"/>
        </w:rPr>
        <w:t>Navedenim zakonom ukinut je prirez porezu na dohodak, a čl. 8. određen je najniži i najviši iznos po kojem se plaća porez na kuće za odmor te se isti sada može odrediti u rasponu od 0,60 do 5,00 eura/m2 korisne površine kuće za odmor (za razliku od dosadašnjeg raspona koji je iznosio 0,66 do 1,99 eura/m2). Nadalje bitno je napomenuti da je sada zakonom izričito propisano da obveza plaćanja poreza na dohodak s osnove obavljanja djelatnosti iznajmljivanja stanova, soba i postelja putnicima i turistima te organiziranja kampova prema odredbama posebnog propisa o porezu na dohodak nema utjecaja na utvrđivanje statusa kuće za odmor, koji se plaća po osnovi vlasništva kuće za odmor, a o čemu su dosada postojala različita mišljenja.</w:t>
      </w:r>
    </w:p>
    <w:p w14:paraId="0F5D9A30" w14:textId="77777777" w:rsidR="002C5DB0" w:rsidRPr="00175AD7" w:rsidRDefault="002C5DB0" w:rsidP="00175AD7">
      <w:pPr>
        <w:jc w:val="both"/>
        <w:rPr>
          <w:rFonts w:ascii="Times New Roman" w:hAnsi="Times New Roman" w:cs="Times New Roman"/>
          <w:sz w:val="24"/>
          <w:szCs w:val="24"/>
        </w:rPr>
      </w:pPr>
      <w:r w:rsidRPr="00175AD7">
        <w:rPr>
          <w:rFonts w:ascii="Times New Roman" w:hAnsi="Times New Roman" w:cs="Times New Roman"/>
          <w:sz w:val="24"/>
          <w:szCs w:val="24"/>
        </w:rPr>
        <w:t>Čl. 11. st. 1. Zakona o izmjenama i dopuni Zakona o lokalnim porezima (“Narodne novine”, br.114/23.) propisano je da su jedinice lokalne samouprave svoju odluku o lokalnim porezima dužne uskladiti sa odredbama toga Zakona do 15. prosinca 2023. godine, ali isto tako da odluke jedinica lokalnih samouprava donesene na temelju čl. 42. st. 1. Zakona o lokalnim porezima (“Narodne novine” broj 115/16, 101/17 i 114/22) ostaju na snazi do 31. prosinca 2023. godine.</w:t>
      </w:r>
    </w:p>
    <w:p w14:paraId="14F0DE42" w14:textId="1B8B77ED" w:rsidR="002C5DB0" w:rsidRPr="00175AD7" w:rsidRDefault="002C5DB0" w:rsidP="00175AD7">
      <w:pPr>
        <w:jc w:val="both"/>
        <w:rPr>
          <w:rFonts w:ascii="Times New Roman" w:hAnsi="Times New Roman" w:cs="Times New Roman"/>
          <w:sz w:val="24"/>
          <w:szCs w:val="24"/>
        </w:rPr>
      </w:pPr>
      <w:r w:rsidRPr="00175AD7">
        <w:rPr>
          <w:rFonts w:ascii="Times New Roman" w:hAnsi="Times New Roman" w:cs="Times New Roman"/>
          <w:sz w:val="24"/>
          <w:szCs w:val="24"/>
        </w:rPr>
        <w:t>Odlukom o općinskim porezima koja je donesena na 6. sjednici Općinskog vijeća dana 23. prosinca 2019. godine, a objavljena u “Službenom glasniku Općine Škabrnja” broj 06/19 bilo je utvrđeno da se prirez porezu na dohodak plaća po stopi od 10%, a porez na potrošnju po stopi od 3%.</w:t>
      </w:r>
    </w:p>
    <w:p w14:paraId="778B5401" w14:textId="7CA0256D" w:rsidR="002C5DB0" w:rsidRPr="00175AD7" w:rsidRDefault="002C5DB0" w:rsidP="00175AD7">
      <w:pPr>
        <w:jc w:val="both"/>
        <w:rPr>
          <w:rFonts w:ascii="Times New Roman" w:hAnsi="Times New Roman" w:cs="Times New Roman"/>
          <w:sz w:val="24"/>
          <w:szCs w:val="24"/>
        </w:rPr>
      </w:pPr>
      <w:r w:rsidRPr="00175AD7">
        <w:rPr>
          <w:rFonts w:ascii="Times New Roman" w:hAnsi="Times New Roman" w:cs="Times New Roman"/>
          <w:sz w:val="24"/>
          <w:szCs w:val="24"/>
        </w:rPr>
        <w:t>Ovim prijedlogom Odluke o općinskim porezima brišu se odredbe o prirezu na porez na dohodak, a iznos po kojem se plaća porez na kuće za odmor utvrđuje se u iznosu od 0,66 eura/m2 korisne površine kuće za odmor. Stopa poreza na potrošnju od 3% ostaje ista.</w:t>
      </w:r>
    </w:p>
    <w:p w14:paraId="61D45082" w14:textId="77777777" w:rsidR="00610CDE" w:rsidRPr="002C5DB0" w:rsidRDefault="00610CDE" w:rsidP="002C5DB0">
      <w:pPr>
        <w:jc w:val="both"/>
        <w:rPr>
          <w:rFonts w:ascii="Times New Roman" w:hAnsi="Times New Roman" w:cs="Times New Roman"/>
        </w:rPr>
      </w:pPr>
    </w:p>
    <w:sectPr w:rsidR="00610CDE" w:rsidRPr="002C5D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137"/>
    <w:rsid w:val="000122A6"/>
    <w:rsid w:val="00175AD7"/>
    <w:rsid w:val="00210137"/>
    <w:rsid w:val="002C5DB0"/>
    <w:rsid w:val="003F792D"/>
    <w:rsid w:val="0061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F7A3F"/>
  <w15:chartTrackingRefBased/>
  <w15:docId w15:val="{CAB62034-62A5-4625-BF67-D5DD77ACA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2C5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Naglaeno">
    <w:name w:val="Strong"/>
    <w:basedOn w:val="Zadanifontodlomka"/>
    <w:uiPriority w:val="22"/>
    <w:qFormat/>
    <w:rsid w:val="002C5DB0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2C5D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Tadić</dc:creator>
  <cp:keywords/>
  <dc:description/>
  <cp:lastModifiedBy>Božena Tadić</cp:lastModifiedBy>
  <cp:revision>6</cp:revision>
  <cp:lastPrinted>2023-11-27T09:32:00Z</cp:lastPrinted>
  <dcterms:created xsi:type="dcterms:W3CDTF">2023-11-27T09:33:00Z</dcterms:created>
  <dcterms:modified xsi:type="dcterms:W3CDTF">2023-11-27T11:01:00Z</dcterms:modified>
</cp:coreProperties>
</file>