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56705" w14:textId="5809BC43" w:rsidR="004A38B2" w:rsidRPr="009439B1" w:rsidRDefault="001849E7" w:rsidP="001849E7">
      <w:pPr>
        <w:tabs>
          <w:tab w:val="left" w:pos="709"/>
          <w:tab w:val="left" w:pos="7088"/>
        </w:tabs>
        <w:rPr>
          <w:sz w:val="22"/>
          <w:szCs w:val="22"/>
        </w:rPr>
      </w:pPr>
      <w:r w:rsidRPr="009439B1">
        <w:rPr>
          <w:sz w:val="22"/>
          <w:szCs w:val="22"/>
        </w:rPr>
        <w:t>Na temelju članka 35. stavka 1. Zakona o lokalnoj i područnoj (regional</w:t>
      </w:r>
      <w:r w:rsidR="00012100" w:rsidRPr="009439B1">
        <w:rPr>
          <w:sz w:val="22"/>
          <w:szCs w:val="22"/>
        </w:rPr>
        <w:t xml:space="preserve">noj) samoupravi (NN </w:t>
      </w:r>
      <w:r w:rsidRPr="009439B1">
        <w:rPr>
          <w:sz w:val="22"/>
          <w:szCs w:val="22"/>
        </w:rPr>
        <w:t>br</w:t>
      </w:r>
      <w:r w:rsidR="00012100" w:rsidRPr="009439B1">
        <w:rPr>
          <w:sz w:val="22"/>
          <w:szCs w:val="22"/>
        </w:rPr>
        <w:t>.</w:t>
      </w:r>
      <w:hyperlink r:id="rId4" w:history="1">
        <w:r w:rsidR="00012100" w:rsidRPr="009439B1">
          <w:rPr>
            <w:bCs/>
            <w:color w:val="000000" w:themeColor="text1"/>
            <w:sz w:val="22"/>
            <w:szCs w:val="22"/>
          </w:rPr>
          <w:t>33/01</w:t>
        </w:r>
      </w:hyperlink>
      <w:r w:rsidR="00012100" w:rsidRPr="009439B1">
        <w:rPr>
          <w:color w:val="000000" w:themeColor="text1"/>
          <w:sz w:val="22"/>
          <w:szCs w:val="22"/>
        </w:rPr>
        <w:t>, </w:t>
      </w:r>
      <w:hyperlink r:id="rId5" w:history="1">
        <w:r w:rsidR="00012100" w:rsidRPr="009439B1">
          <w:rPr>
            <w:bCs/>
            <w:color w:val="000000" w:themeColor="text1"/>
            <w:sz w:val="22"/>
            <w:szCs w:val="22"/>
          </w:rPr>
          <w:t>60/01</w:t>
        </w:r>
      </w:hyperlink>
      <w:r w:rsidR="00012100" w:rsidRPr="009439B1">
        <w:rPr>
          <w:color w:val="000000" w:themeColor="text1"/>
          <w:sz w:val="22"/>
          <w:szCs w:val="22"/>
        </w:rPr>
        <w:t>, </w:t>
      </w:r>
      <w:hyperlink r:id="rId6" w:history="1">
        <w:r w:rsidR="00012100" w:rsidRPr="009439B1">
          <w:rPr>
            <w:bCs/>
            <w:color w:val="000000" w:themeColor="text1"/>
            <w:sz w:val="22"/>
            <w:szCs w:val="22"/>
          </w:rPr>
          <w:t>129/05</w:t>
        </w:r>
      </w:hyperlink>
      <w:r w:rsidR="00012100" w:rsidRPr="009439B1">
        <w:rPr>
          <w:color w:val="000000" w:themeColor="text1"/>
          <w:sz w:val="22"/>
          <w:szCs w:val="22"/>
        </w:rPr>
        <w:t>, </w:t>
      </w:r>
      <w:hyperlink r:id="rId7" w:history="1">
        <w:r w:rsidR="00012100" w:rsidRPr="009439B1">
          <w:rPr>
            <w:bCs/>
            <w:color w:val="000000" w:themeColor="text1"/>
            <w:sz w:val="22"/>
            <w:szCs w:val="22"/>
          </w:rPr>
          <w:t>109/07</w:t>
        </w:r>
      </w:hyperlink>
      <w:r w:rsidR="00012100" w:rsidRPr="009439B1">
        <w:rPr>
          <w:color w:val="000000" w:themeColor="text1"/>
          <w:sz w:val="22"/>
          <w:szCs w:val="22"/>
        </w:rPr>
        <w:t>, </w:t>
      </w:r>
      <w:hyperlink r:id="rId8" w:history="1">
        <w:r w:rsidR="00012100" w:rsidRPr="009439B1">
          <w:rPr>
            <w:bCs/>
            <w:color w:val="000000" w:themeColor="text1"/>
            <w:sz w:val="22"/>
            <w:szCs w:val="22"/>
          </w:rPr>
          <w:t>125/08</w:t>
        </w:r>
      </w:hyperlink>
      <w:r w:rsidR="00012100" w:rsidRPr="009439B1">
        <w:rPr>
          <w:color w:val="000000" w:themeColor="text1"/>
          <w:sz w:val="22"/>
          <w:szCs w:val="22"/>
        </w:rPr>
        <w:t>, </w:t>
      </w:r>
      <w:hyperlink r:id="rId9" w:history="1">
        <w:r w:rsidR="00012100" w:rsidRPr="009439B1">
          <w:rPr>
            <w:bCs/>
            <w:color w:val="000000" w:themeColor="text1"/>
            <w:sz w:val="22"/>
            <w:szCs w:val="22"/>
          </w:rPr>
          <w:t>36/09</w:t>
        </w:r>
      </w:hyperlink>
      <w:r w:rsidR="00012100" w:rsidRPr="009439B1">
        <w:rPr>
          <w:color w:val="000000" w:themeColor="text1"/>
          <w:sz w:val="22"/>
          <w:szCs w:val="22"/>
        </w:rPr>
        <w:t>, </w:t>
      </w:r>
      <w:hyperlink r:id="rId10" w:history="1">
        <w:r w:rsidR="00012100" w:rsidRPr="009439B1">
          <w:rPr>
            <w:bCs/>
            <w:color w:val="000000" w:themeColor="text1"/>
            <w:sz w:val="22"/>
            <w:szCs w:val="22"/>
          </w:rPr>
          <w:t>36/09</w:t>
        </w:r>
      </w:hyperlink>
      <w:r w:rsidR="00012100" w:rsidRPr="009439B1">
        <w:rPr>
          <w:color w:val="000000" w:themeColor="text1"/>
          <w:sz w:val="22"/>
          <w:szCs w:val="22"/>
        </w:rPr>
        <w:t>, </w:t>
      </w:r>
      <w:hyperlink r:id="rId11" w:history="1">
        <w:r w:rsidR="00012100" w:rsidRPr="009439B1">
          <w:rPr>
            <w:bCs/>
            <w:color w:val="000000" w:themeColor="text1"/>
            <w:sz w:val="22"/>
            <w:szCs w:val="22"/>
          </w:rPr>
          <w:t>150/11</w:t>
        </w:r>
      </w:hyperlink>
      <w:r w:rsidR="00012100" w:rsidRPr="009439B1">
        <w:rPr>
          <w:color w:val="000000" w:themeColor="text1"/>
          <w:sz w:val="22"/>
          <w:szCs w:val="22"/>
        </w:rPr>
        <w:t>, </w:t>
      </w:r>
      <w:hyperlink r:id="rId12" w:history="1">
        <w:r w:rsidR="00012100" w:rsidRPr="009439B1">
          <w:rPr>
            <w:bCs/>
            <w:color w:val="000000" w:themeColor="text1"/>
            <w:sz w:val="22"/>
            <w:szCs w:val="22"/>
          </w:rPr>
          <w:t>144/12</w:t>
        </w:r>
      </w:hyperlink>
      <w:r w:rsidR="00012100" w:rsidRPr="009439B1">
        <w:rPr>
          <w:color w:val="000000" w:themeColor="text1"/>
          <w:sz w:val="22"/>
          <w:szCs w:val="22"/>
        </w:rPr>
        <w:t>, </w:t>
      </w:r>
      <w:hyperlink r:id="rId13" w:history="1">
        <w:r w:rsidR="00012100" w:rsidRPr="009439B1">
          <w:rPr>
            <w:bCs/>
            <w:color w:val="000000" w:themeColor="text1"/>
            <w:sz w:val="22"/>
            <w:szCs w:val="22"/>
          </w:rPr>
          <w:t>19/13</w:t>
        </w:r>
      </w:hyperlink>
      <w:r w:rsidR="00012100" w:rsidRPr="009439B1">
        <w:rPr>
          <w:color w:val="000000" w:themeColor="text1"/>
          <w:sz w:val="22"/>
          <w:szCs w:val="22"/>
        </w:rPr>
        <w:t>, </w:t>
      </w:r>
      <w:hyperlink r:id="rId14" w:history="1">
        <w:r w:rsidR="00012100" w:rsidRPr="009439B1">
          <w:rPr>
            <w:bCs/>
            <w:color w:val="000000" w:themeColor="text1"/>
            <w:sz w:val="22"/>
            <w:szCs w:val="22"/>
          </w:rPr>
          <w:t>137/15</w:t>
        </w:r>
      </w:hyperlink>
      <w:r w:rsidR="00012100" w:rsidRPr="009439B1">
        <w:rPr>
          <w:color w:val="000000" w:themeColor="text1"/>
          <w:sz w:val="22"/>
          <w:szCs w:val="22"/>
        </w:rPr>
        <w:t>, </w:t>
      </w:r>
      <w:hyperlink r:id="rId15" w:tgtFrame="_blank" w:history="1">
        <w:r w:rsidR="00012100" w:rsidRPr="009439B1">
          <w:rPr>
            <w:bCs/>
            <w:color w:val="000000" w:themeColor="text1"/>
            <w:sz w:val="22"/>
            <w:szCs w:val="22"/>
          </w:rPr>
          <w:t>123/17</w:t>
        </w:r>
      </w:hyperlink>
      <w:r w:rsidR="00012100" w:rsidRPr="009439B1">
        <w:rPr>
          <w:color w:val="000000" w:themeColor="text1"/>
          <w:sz w:val="22"/>
          <w:szCs w:val="22"/>
        </w:rPr>
        <w:t>, </w:t>
      </w:r>
      <w:hyperlink r:id="rId16" w:history="1">
        <w:r w:rsidR="00012100" w:rsidRPr="009439B1">
          <w:rPr>
            <w:bCs/>
            <w:color w:val="000000" w:themeColor="text1"/>
            <w:sz w:val="22"/>
            <w:szCs w:val="22"/>
          </w:rPr>
          <w:t>98/19</w:t>
        </w:r>
      </w:hyperlink>
      <w:r w:rsidRPr="009439B1">
        <w:rPr>
          <w:sz w:val="22"/>
          <w:szCs w:val="22"/>
        </w:rPr>
        <w:t>) i članka 31. Statuta Općine Škabrnja („Službeni  glasnik Općine Škabrnja“ br. 02/13</w:t>
      </w:r>
      <w:r w:rsidR="004220F2">
        <w:rPr>
          <w:sz w:val="22"/>
          <w:szCs w:val="22"/>
        </w:rPr>
        <w:t xml:space="preserve"> i 01/18</w:t>
      </w:r>
      <w:bookmarkStart w:id="0" w:name="_GoBack"/>
      <w:bookmarkEnd w:id="0"/>
      <w:r w:rsidRPr="009439B1">
        <w:rPr>
          <w:sz w:val="22"/>
          <w:szCs w:val="22"/>
        </w:rPr>
        <w:t xml:space="preserve">) Općinsko vijeće Općine Škabrnja na svojoj </w:t>
      </w:r>
      <w:r w:rsidR="009439B1" w:rsidRPr="009439B1">
        <w:rPr>
          <w:sz w:val="22"/>
          <w:szCs w:val="22"/>
        </w:rPr>
        <w:t>14.</w:t>
      </w:r>
      <w:r w:rsidRPr="009439B1">
        <w:rPr>
          <w:sz w:val="22"/>
          <w:szCs w:val="22"/>
        </w:rPr>
        <w:t xml:space="preserve"> sjednici održanoj dana  </w:t>
      </w:r>
      <w:r w:rsidR="009439B1" w:rsidRPr="009439B1">
        <w:rPr>
          <w:sz w:val="22"/>
          <w:szCs w:val="22"/>
        </w:rPr>
        <w:t>03.03.2020</w:t>
      </w:r>
      <w:r w:rsidRPr="009439B1">
        <w:rPr>
          <w:sz w:val="22"/>
          <w:szCs w:val="22"/>
        </w:rPr>
        <w:t>. godine donijelo je</w:t>
      </w:r>
    </w:p>
    <w:p w14:paraId="623E26D2" w14:textId="77777777" w:rsidR="001849E7" w:rsidRPr="009439B1" w:rsidRDefault="001849E7" w:rsidP="001849E7">
      <w:pPr>
        <w:tabs>
          <w:tab w:val="left" w:pos="709"/>
          <w:tab w:val="left" w:pos="7088"/>
        </w:tabs>
        <w:rPr>
          <w:sz w:val="22"/>
          <w:szCs w:val="22"/>
        </w:rPr>
      </w:pPr>
    </w:p>
    <w:p w14:paraId="056437CF" w14:textId="77777777" w:rsidR="001849E7" w:rsidRPr="00875EA4" w:rsidRDefault="001849E7" w:rsidP="001849E7">
      <w:pPr>
        <w:tabs>
          <w:tab w:val="left" w:pos="709"/>
          <w:tab w:val="left" w:pos="7088"/>
        </w:tabs>
      </w:pPr>
    </w:p>
    <w:p w14:paraId="70BDBACA" w14:textId="77777777" w:rsidR="001849E7" w:rsidRPr="00875EA4" w:rsidRDefault="001849E7" w:rsidP="001849E7">
      <w:pPr>
        <w:tabs>
          <w:tab w:val="left" w:pos="709"/>
          <w:tab w:val="left" w:pos="7088"/>
        </w:tabs>
        <w:jc w:val="center"/>
      </w:pPr>
      <w:r w:rsidRPr="00875EA4">
        <w:t xml:space="preserve">ODLUKU </w:t>
      </w:r>
    </w:p>
    <w:p w14:paraId="39B3D93C" w14:textId="77777777" w:rsidR="001849E7" w:rsidRDefault="001849E7" w:rsidP="001849E7">
      <w:pPr>
        <w:tabs>
          <w:tab w:val="left" w:pos="709"/>
          <w:tab w:val="left" w:pos="7088"/>
        </w:tabs>
        <w:jc w:val="center"/>
      </w:pPr>
      <w:r w:rsidRPr="00875EA4">
        <w:t>O izmjenama i dopunama Statuta Općine Škabrnja</w:t>
      </w:r>
    </w:p>
    <w:p w14:paraId="2B2C891D" w14:textId="77777777" w:rsidR="008B775C" w:rsidRPr="00875EA4" w:rsidRDefault="008B775C" w:rsidP="009439B1">
      <w:pPr>
        <w:tabs>
          <w:tab w:val="left" w:pos="709"/>
          <w:tab w:val="left" w:pos="7088"/>
        </w:tabs>
      </w:pPr>
    </w:p>
    <w:p w14:paraId="6694EFE1" w14:textId="77777777" w:rsidR="001849E7" w:rsidRPr="009439B1" w:rsidRDefault="001849E7" w:rsidP="001849E7">
      <w:pPr>
        <w:tabs>
          <w:tab w:val="left" w:pos="709"/>
          <w:tab w:val="left" w:pos="7088"/>
        </w:tabs>
        <w:jc w:val="center"/>
        <w:rPr>
          <w:sz w:val="22"/>
          <w:szCs w:val="22"/>
        </w:rPr>
      </w:pPr>
    </w:p>
    <w:p w14:paraId="7AC37C7A" w14:textId="77777777" w:rsidR="001849E7" w:rsidRPr="009439B1" w:rsidRDefault="008B775C" w:rsidP="001849E7">
      <w:pPr>
        <w:tabs>
          <w:tab w:val="left" w:pos="709"/>
          <w:tab w:val="left" w:pos="7088"/>
        </w:tabs>
        <w:jc w:val="center"/>
        <w:rPr>
          <w:sz w:val="22"/>
          <w:szCs w:val="22"/>
        </w:rPr>
      </w:pPr>
      <w:r w:rsidRPr="009439B1">
        <w:rPr>
          <w:sz w:val="22"/>
          <w:szCs w:val="22"/>
        </w:rPr>
        <w:t>Članak 1.</w:t>
      </w:r>
    </w:p>
    <w:p w14:paraId="388B4A2F" w14:textId="77777777" w:rsidR="008B775C" w:rsidRPr="009439B1" w:rsidRDefault="008B775C" w:rsidP="008B775C">
      <w:pPr>
        <w:tabs>
          <w:tab w:val="left" w:pos="709"/>
          <w:tab w:val="left" w:pos="7088"/>
        </w:tabs>
        <w:jc w:val="center"/>
        <w:rPr>
          <w:sz w:val="22"/>
          <w:szCs w:val="22"/>
        </w:rPr>
      </w:pPr>
    </w:p>
    <w:p w14:paraId="52A9BC46" w14:textId="77777777" w:rsidR="008B775C" w:rsidRPr="009439B1" w:rsidRDefault="008B775C" w:rsidP="008B775C">
      <w:pPr>
        <w:spacing w:after="113" w:line="313" w:lineRule="atLeast"/>
        <w:rPr>
          <w:color w:val="000000" w:themeColor="text1"/>
          <w:sz w:val="22"/>
          <w:szCs w:val="22"/>
        </w:rPr>
      </w:pPr>
      <w:r w:rsidRPr="009439B1">
        <w:rPr>
          <w:sz w:val="22"/>
          <w:szCs w:val="22"/>
        </w:rPr>
        <w:t>U Statutu Općine Škabrnja  u članku 21.riječi:“središnje tijelo državne uprave“</w:t>
      </w:r>
      <w:r w:rsidRPr="009439B1">
        <w:rPr>
          <w:color w:val="000000" w:themeColor="text1"/>
          <w:sz w:val="22"/>
          <w:szCs w:val="22"/>
        </w:rPr>
        <w:t xml:space="preserve"> zamjenjuju se riječima:“tijelo državne uprave“</w:t>
      </w:r>
    </w:p>
    <w:p w14:paraId="54A8A30B" w14:textId="77777777" w:rsidR="008B775C" w:rsidRPr="009439B1" w:rsidRDefault="008B775C" w:rsidP="008B775C">
      <w:pPr>
        <w:tabs>
          <w:tab w:val="left" w:pos="709"/>
          <w:tab w:val="left" w:pos="7088"/>
        </w:tabs>
        <w:rPr>
          <w:sz w:val="22"/>
          <w:szCs w:val="22"/>
        </w:rPr>
      </w:pPr>
    </w:p>
    <w:p w14:paraId="6483C020" w14:textId="77777777" w:rsidR="00313BD0" w:rsidRPr="009439B1" w:rsidRDefault="008B775C" w:rsidP="00313BD0">
      <w:pPr>
        <w:tabs>
          <w:tab w:val="left" w:pos="709"/>
          <w:tab w:val="left" w:pos="7088"/>
        </w:tabs>
        <w:jc w:val="center"/>
        <w:rPr>
          <w:sz w:val="22"/>
          <w:szCs w:val="22"/>
        </w:rPr>
      </w:pPr>
      <w:r w:rsidRPr="009439B1">
        <w:rPr>
          <w:sz w:val="22"/>
          <w:szCs w:val="22"/>
        </w:rPr>
        <w:t>Članak 2</w:t>
      </w:r>
      <w:r w:rsidR="001849E7" w:rsidRPr="009439B1">
        <w:rPr>
          <w:sz w:val="22"/>
          <w:szCs w:val="22"/>
        </w:rPr>
        <w:t>.</w:t>
      </w:r>
    </w:p>
    <w:p w14:paraId="2D6E7161" w14:textId="77777777" w:rsidR="001849E7" w:rsidRPr="009439B1" w:rsidRDefault="001849E7" w:rsidP="001849E7">
      <w:pPr>
        <w:tabs>
          <w:tab w:val="left" w:pos="709"/>
          <w:tab w:val="left" w:pos="7088"/>
        </w:tabs>
        <w:jc w:val="center"/>
        <w:rPr>
          <w:sz w:val="22"/>
          <w:szCs w:val="22"/>
        </w:rPr>
      </w:pPr>
    </w:p>
    <w:p w14:paraId="01006358" w14:textId="77777777" w:rsidR="006D4C04" w:rsidRPr="009439B1" w:rsidRDefault="001849E7" w:rsidP="001849E7">
      <w:pPr>
        <w:tabs>
          <w:tab w:val="left" w:pos="709"/>
          <w:tab w:val="left" w:pos="7088"/>
        </w:tabs>
        <w:rPr>
          <w:color w:val="000000" w:themeColor="text1"/>
          <w:sz w:val="22"/>
          <w:szCs w:val="22"/>
        </w:rPr>
      </w:pPr>
      <w:r w:rsidRPr="009439B1">
        <w:rPr>
          <w:sz w:val="22"/>
          <w:szCs w:val="22"/>
        </w:rPr>
        <w:t xml:space="preserve">U </w:t>
      </w:r>
      <w:r w:rsidR="00E66614" w:rsidRPr="009439B1">
        <w:rPr>
          <w:sz w:val="22"/>
          <w:szCs w:val="22"/>
        </w:rPr>
        <w:t xml:space="preserve">  člank</w:t>
      </w:r>
      <w:r w:rsidR="008B775C" w:rsidRPr="009439B1">
        <w:rPr>
          <w:sz w:val="22"/>
          <w:szCs w:val="22"/>
        </w:rPr>
        <w:t>u</w:t>
      </w:r>
      <w:r w:rsidRPr="009439B1">
        <w:rPr>
          <w:sz w:val="22"/>
          <w:szCs w:val="22"/>
        </w:rPr>
        <w:t xml:space="preserve"> 46. </w:t>
      </w:r>
      <w:r w:rsidR="002134CA" w:rsidRPr="009439B1">
        <w:rPr>
          <w:color w:val="000000" w:themeColor="text1"/>
          <w:sz w:val="22"/>
          <w:szCs w:val="22"/>
        </w:rPr>
        <w:t xml:space="preserve"> stavk</w:t>
      </w:r>
      <w:r w:rsidR="006D4C04" w:rsidRPr="009439B1">
        <w:rPr>
          <w:color w:val="000000" w:themeColor="text1"/>
          <w:sz w:val="22"/>
          <w:szCs w:val="22"/>
        </w:rPr>
        <w:t xml:space="preserve"> 4. u  svim točkama riječi :„poslovi državne uprave“ zamjenjuju se riječima „povjereni poslovi državne uprave“</w:t>
      </w:r>
      <w:r w:rsidR="008B775C" w:rsidRPr="009439B1">
        <w:rPr>
          <w:color w:val="000000" w:themeColor="text1"/>
          <w:sz w:val="22"/>
          <w:szCs w:val="22"/>
        </w:rPr>
        <w:t xml:space="preserve"> </w:t>
      </w:r>
    </w:p>
    <w:p w14:paraId="06EFD6ED" w14:textId="77777777" w:rsidR="0023205D" w:rsidRPr="009439B1" w:rsidRDefault="0023205D" w:rsidP="001849E7">
      <w:pPr>
        <w:tabs>
          <w:tab w:val="left" w:pos="709"/>
          <w:tab w:val="left" w:pos="7088"/>
        </w:tabs>
        <w:rPr>
          <w:color w:val="000000" w:themeColor="text1"/>
          <w:sz w:val="22"/>
          <w:szCs w:val="22"/>
        </w:rPr>
      </w:pPr>
    </w:p>
    <w:p w14:paraId="3A14FF2B" w14:textId="77777777" w:rsidR="0023205D" w:rsidRPr="009439B1" w:rsidRDefault="008B775C" w:rsidP="0023205D">
      <w:pPr>
        <w:tabs>
          <w:tab w:val="left" w:pos="709"/>
          <w:tab w:val="left" w:pos="7088"/>
        </w:tabs>
        <w:jc w:val="center"/>
        <w:rPr>
          <w:color w:val="000000" w:themeColor="text1"/>
          <w:sz w:val="22"/>
          <w:szCs w:val="22"/>
        </w:rPr>
      </w:pPr>
      <w:r w:rsidRPr="009439B1">
        <w:rPr>
          <w:color w:val="000000" w:themeColor="text1"/>
          <w:sz w:val="22"/>
          <w:szCs w:val="22"/>
        </w:rPr>
        <w:t>Članak 3</w:t>
      </w:r>
      <w:r w:rsidR="0023205D" w:rsidRPr="009439B1">
        <w:rPr>
          <w:color w:val="000000" w:themeColor="text1"/>
          <w:sz w:val="22"/>
          <w:szCs w:val="22"/>
        </w:rPr>
        <w:t>.</w:t>
      </w:r>
    </w:p>
    <w:p w14:paraId="528DD505" w14:textId="77777777" w:rsidR="0023205D" w:rsidRPr="009439B1" w:rsidRDefault="0023205D" w:rsidP="0023205D">
      <w:pPr>
        <w:spacing w:after="113" w:line="313" w:lineRule="atLeast"/>
        <w:rPr>
          <w:color w:val="000000" w:themeColor="text1"/>
          <w:sz w:val="22"/>
          <w:szCs w:val="22"/>
        </w:rPr>
      </w:pPr>
      <w:r w:rsidRPr="009439B1">
        <w:rPr>
          <w:color w:val="000000" w:themeColor="text1"/>
          <w:sz w:val="22"/>
          <w:szCs w:val="22"/>
        </w:rPr>
        <w:t>U članku 47. iza stavka 1. dodaje se stavak 2. koji glasi:“</w:t>
      </w:r>
      <w:r w:rsidRPr="009439B1">
        <w:rPr>
          <w:color w:val="414145"/>
          <w:sz w:val="22"/>
          <w:szCs w:val="22"/>
        </w:rPr>
        <w:t xml:space="preserve"> </w:t>
      </w:r>
      <w:r w:rsidRPr="009439B1">
        <w:rPr>
          <w:color w:val="000000" w:themeColor="text1"/>
          <w:sz w:val="22"/>
          <w:szCs w:val="22"/>
        </w:rPr>
        <w:t>Općinski načelnik odgovoran je za zakonito i pravilno obavljanje povjerenih poslova državne uprave tijelu državne uprave nadležnom za upravni nadzor u odgovarajućem upravnom području“.</w:t>
      </w:r>
    </w:p>
    <w:p w14:paraId="26321269" w14:textId="77777777" w:rsidR="0023205D" w:rsidRPr="009439B1" w:rsidRDefault="0023205D" w:rsidP="0023205D">
      <w:pPr>
        <w:spacing w:after="113" w:line="313" w:lineRule="atLeast"/>
        <w:rPr>
          <w:color w:val="000000" w:themeColor="text1"/>
          <w:sz w:val="22"/>
          <w:szCs w:val="22"/>
        </w:rPr>
      </w:pPr>
      <w:r w:rsidRPr="009439B1">
        <w:rPr>
          <w:color w:val="000000" w:themeColor="text1"/>
          <w:sz w:val="22"/>
          <w:szCs w:val="22"/>
        </w:rPr>
        <w:t>Iza stavka 2. dodaje se stavak 3. koji glasi:“Općinski načelnik,obavlja poslove utvrđene statutom općine u skladu sa zakonom.</w:t>
      </w:r>
    </w:p>
    <w:p w14:paraId="69F907B4" w14:textId="77777777" w:rsidR="006D4C04" w:rsidRPr="009439B1" w:rsidRDefault="006D4C04" w:rsidP="001849E7">
      <w:pPr>
        <w:tabs>
          <w:tab w:val="left" w:pos="709"/>
          <w:tab w:val="left" w:pos="7088"/>
        </w:tabs>
        <w:rPr>
          <w:color w:val="000000" w:themeColor="text1"/>
          <w:sz w:val="22"/>
          <w:szCs w:val="22"/>
        </w:rPr>
      </w:pPr>
    </w:p>
    <w:p w14:paraId="11A98220" w14:textId="77777777" w:rsidR="006D4C04" w:rsidRPr="009439B1" w:rsidRDefault="008B775C" w:rsidP="006D4C04">
      <w:pPr>
        <w:tabs>
          <w:tab w:val="left" w:pos="709"/>
          <w:tab w:val="left" w:pos="7088"/>
        </w:tabs>
        <w:jc w:val="center"/>
        <w:rPr>
          <w:color w:val="000000" w:themeColor="text1"/>
          <w:sz w:val="22"/>
          <w:szCs w:val="22"/>
        </w:rPr>
      </w:pPr>
      <w:r w:rsidRPr="009439B1">
        <w:rPr>
          <w:color w:val="000000" w:themeColor="text1"/>
          <w:sz w:val="22"/>
          <w:szCs w:val="22"/>
        </w:rPr>
        <w:t>Članak 4</w:t>
      </w:r>
      <w:r w:rsidR="006D4C04" w:rsidRPr="009439B1">
        <w:rPr>
          <w:color w:val="000000" w:themeColor="text1"/>
          <w:sz w:val="22"/>
          <w:szCs w:val="22"/>
        </w:rPr>
        <w:t>.</w:t>
      </w:r>
    </w:p>
    <w:p w14:paraId="2EF1B129" w14:textId="77777777" w:rsidR="006D4C04" w:rsidRPr="009439B1" w:rsidRDefault="006D4C04" w:rsidP="006D4C04">
      <w:pPr>
        <w:tabs>
          <w:tab w:val="left" w:pos="709"/>
          <w:tab w:val="left" w:pos="7088"/>
        </w:tabs>
        <w:jc w:val="center"/>
        <w:rPr>
          <w:color w:val="000000" w:themeColor="text1"/>
          <w:sz w:val="22"/>
          <w:szCs w:val="22"/>
        </w:rPr>
      </w:pPr>
    </w:p>
    <w:p w14:paraId="092639D4" w14:textId="77777777" w:rsidR="00E66614" w:rsidRPr="009439B1" w:rsidRDefault="006D4C04" w:rsidP="001849E7">
      <w:pPr>
        <w:tabs>
          <w:tab w:val="left" w:pos="709"/>
          <w:tab w:val="left" w:pos="7088"/>
        </w:tabs>
        <w:rPr>
          <w:color w:val="000000" w:themeColor="text1"/>
          <w:sz w:val="22"/>
          <w:szCs w:val="22"/>
        </w:rPr>
      </w:pPr>
      <w:r w:rsidRPr="009439B1">
        <w:rPr>
          <w:color w:val="000000" w:themeColor="text1"/>
          <w:sz w:val="22"/>
          <w:szCs w:val="22"/>
        </w:rPr>
        <w:t>U članku 49.</w:t>
      </w:r>
      <w:r w:rsidR="0023205D" w:rsidRPr="009439B1">
        <w:rPr>
          <w:color w:val="000000" w:themeColor="text1"/>
          <w:sz w:val="22"/>
          <w:szCs w:val="22"/>
        </w:rPr>
        <w:t>stavaku 1. točki 1.</w:t>
      </w:r>
      <w:r w:rsidRPr="009439B1">
        <w:rPr>
          <w:color w:val="000000" w:themeColor="text1"/>
          <w:sz w:val="22"/>
          <w:szCs w:val="22"/>
        </w:rPr>
        <w:t xml:space="preserve">  riječi „predstojnika državne uprave u Zadrskoj županiji“ , zamjenjuju se riječima</w:t>
      </w:r>
      <w:r w:rsidR="001C21E1" w:rsidRPr="009439B1">
        <w:rPr>
          <w:color w:val="000000" w:themeColor="text1"/>
          <w:sz w:val="22"/>
          <w:szCs w:val="22"/>
        </w:rPr>
        <w:t>:</w:t>
      </w:r>
      <w:r w:rsidRPr="009439B1">
        <w:rPr>
          <w:color w:val="000000" w:themeColor="text1"/>
          <w:sz w:val="22"/>
          <w:szCs w:val="22"/>
        </w:rPr>
        <w:t xml:space="preserve"> „</w:t>
      </w:r>
      <w:r w:rsidR="001C21E1" w:rsidRPr="009439B1">
        <w:rPr>
          <w:color w:val="000000" w:themeColor="text1"/>
          <w:sz w:val="22"/>
          <w:szCs w:val="22"/>
        </w:rPr>
        <w:t>nadležno tijelo državne uprave u čijem je djelokrugu opći akt“</w:t>
      </w:r>
    </w:p>
    <w:p w14:paraId="1A853BE1" w14:textId="77777777" w:rsidR="001C21E1" w:rsidRPr="009439B1" w:rsidRDefault="001C21E1" w:rsidP="001849E7">
      <w:pPr>
        <w:tabs>
          <w:tab w:val="left" w:pos="709"/>
          <w:tab w:val="left" w:pos="7088"/>
        </w:tabs>
        <w:rPr>
          <w:color w:val="000000" w:themeColor="text1"/>
          <w:sz w:val="22"/>
          <w:szCs w:val="22"/>
        </w:rPr>
      </w:pPr>
    </w:p>
    <w:p w14:paraId="0456F39E" w14:textId="77777777" w:rsidR="001C21E1" w:rsidRPr="009439B1" w:rsidRDefault="001C21E1" w:rsidP="001849E7">
      <w:pPr>
        <w:tabs>
          <w:tab w:val="left" w:pos="709"/>
          <w:tab w:val="left" w:pos="7088"/>
        </w:tabs>
        <w:rPr>
          <w:color w:val="000000" w:themeColor="text1"/>
          <w:sz w:val="22"/>
          <w:szCs w:val="22"/>
        </w:rPr>
      </w:pPr>
    </w:p>
    <w:p w14:paraId="16CCB5D0" w14:textId="77777777" w:rsidR="001C21E1" w:rsidRPr="009439B1" w:rsidRDefault="008B775C" w:rsidP="001C21E1">
      <w:pPr>
        <w:tabs>
          <w:tab w:val="left" w:pos="709"/>
          <w:tab w:val="left" w:pos="7088"/>
        </w:tabs>
        <w:jc w:val="center"/>
        <w:rPr>
          <w:color w:val="000000" w:themeColor="text1"/>
          <w:sz w:val="22"/>
          <w:szCs w:val="22"/>
        </w:rPr>
      </w:pPr>
      <w:r w:rsidRPr="009439B1">
        <w:rPr>
          <w:color w:val="000000" w:themeColor="text1"/>
          <w:sz w:val="22"/>
          <w:szCs w:val="22"/>
        </w:rPr>
        <w:t>Članak 5</w:t>
      </w:r>
      <w:r w:rsidR="001C21E1" w:rsidRPr="009439B1">
        <w:rPr>
          <w:color w:val="000000" w:themeColor="text1"/>
          <w:sz w:val="22"/>
          <w:szCs w:val="22"/>
        </w:rPr>
        <w:t>.</w:t>
      </w:r>
    </w:p>
    <w:p w14:paraId="4667B5FE" w14:textId="77777777" w:rsidR="001C21E1" w:rsidRPr="009439B1" w:rsidRDefault="001C21E1" w:rsidP="001C21E1">
      <w:pPr>
        <w:tabs>
          <w:tab w:val="left" w:pos="709"/>
          <w:tab w:val="left" w:pos="7088"/>
        </w:tabs>
        <w:jc w:val="center"/>
        <w:rPr>
          <w:color w:val="000000" w:themeColor="text1"/>
          <w:sz w:val="22"/>
          <w:szCs w:val="22"/>
        </w:rPr>
      </w:pPr>
    </w:p>
    <w:p w14:paraId="13BDAB6A" w14:textId="77777777" w:rsidR="001C21E1" w:rsidRPr="009439B1" w:rsidRDefault="001C21E1" w:rsidP="001C21E1">
      <w:pPr>
        <w:tabs>
          <w:tab w:val="left" w:pos="709"/>
          <w:tab w:val="left" w:pos="7088"/>
        </w:tabs>
        <w:rPr>
          <w:color w:val="000000" w:themeColor="text1"/>
          <w:sz w:val="22"/>
          <w:szCs w:val="22"/>
        </w:rPr>
      </w:pPr>
      <w:r w:rsidRPr="009439B1">
        <w:rPr>
          <w:color w:val="000000" w:themeColor="text1"/>
          <w:sz w:val="22"/>
          <w:szCs w:val="22"/>
        </w:rPr>
        <w:t>U članku 54.</w:t>
      </w:r>
      <w:r w:rsidR="0023205D" w:rsidRPr="009439B1">
        <w:rPr>
          <w:color w:val="000000" w:themeColor="text1"/>
          <w:sz w:val="22"/>
          <w:szCs w:val="22"/>
        </w:rPr>
        <w:t xml:space="preserve"> stavku 1.</w:t>
      </w:r>
      <w:r w:rsidRPr="009439B1">
        <w:rPr>
          <w:color w:val="000000" w:themeColor="text1"/>
          <w:sz w:val="22"/>
          <w:szCs w:val="22"/>
        </w:rPr>
        <w:t xml:space="preserve"> riječi:“poslovi državne uprave preneseni na Općinu „ zamjenjuju se riječima:“ povjereni poslovi državne uprave“.</w:t>
      </w:r>
    </w:p>
    <w:p w14:paraId="6E65C8B0" w14:textId="77777777" w:rsidR="001C21E1" w:rsidRPr="009439B1" w:rsidRDefault="001C21E1" w:rsidP="001C21E1">
      <w:pPr>
        <w:tabs>
          <w:tab w:val="left" w:pos="709"/>
          <w:tab w:val="left" w:pos="7088"/>
        </w:tabs>
        <w:rPr>
          <w:color w:val="000000" w:themeColor="text1"/>
          <w:sz w:val="22"/>
          <w:szCs w:val="22"/>
        </w:rPr>
      </w:pPr>
    </w:p>
    <w:p w14:paraId="51D0F735" w14:textId="77777777" w:rsidR="001C21E1" w:rsidRPr="009439B1" w:rsidRDefault="0023205D" w:rsidP="001C21E1">
      <w:pPr>
        <w:tabs>
          <w:tab w:val="left" w:pos="709"/>
          <w:tab w:val="left" w:pos="7088"/>
        </w:tabs>
        <w:jc w:val="center"/>
        <w:rPr>
          <w:color w:val="000000" w:themeColor="text1"/>
          <w:sz w:val="22"/>
          <w:szCs w:val="22"/>
        </w:rPr>
      </w:pPr>
      <w:r w:rsidRPr="009439B1">
        <w:rPr>
          <w:color w:val="000000" w:themeColor="text1"/>
          <w:sz w:val="22"/>
          <w:szCs w:val="22"/>
        </w:rPr>
        <w:t>Članak</w:t>
      </w:r>
      <w:r w:rsidR="008B775C" w:rsidRPr="009439B1">
        <w:rPr>
          <w:color w:val="000000" w:themeColor="text1"/>
          <w:sz w:val="22"/>
          <w:szCs w:val="22"/>
        </w:rPr>
        <w:t xml:space="preserve"> 6</w:t>
      </w:r>
      <w:r w:rsidR="001C21E1" w:rsidRPr="009439B1">
        <w:rPr>
          <w:color w:val="000000" w:themeColor="text1"/>
          <w:sz w:val="22"/>
          <w:szCs w:val="22"/>
        </w:rPr>
        <w:t>.</w:t>
      </w:r>
    </w:p>
    <w:p w14:paraId="58A87C0D" w14:textId="77777777" w:rsidR="008D2F3F" w:rsidRPr="009439B1" w:rsidRDefault="001C21E1" w:rsidP="008D2F3F">
      <w:pPr>
        <w:tabs>
          <w:tab w:val="left" w:pos="709"/>
          <w:tab w:val="left" w:pos="7088"/>
        </w:tabs>
        <w:rPr>
          <w:color w:val="000000" w:themeColor="text1"/>
          <w:sz w:val="22"/>
          <w:szCs w:val="22"/>
        </w:rPr>
      </w:pPr>
      <w:r w:rsidRPr="009439B1">
        <w:rPr>
          <w:color w:val="000000" w:themeColor="text1"/>
          <w:sz w:val="22"/>
          <w:szCs w:val="22"/>
        </w:rPr>
        <w:t>U članku 55. u svim točkama riječi:“</w:t>
      </w:r>
      <w:r w:rsidR="008D2F3F" w:rsidRPr="009439B1">
        <w:rPr>
          <w:color w:val="000000" w:themeColor="text1"/>
          <w:sz w:val="22"/>
          <w:szCs w:val="22"/>
        </w:rPr>
        <w:t xml:space="preserve"> poslovi državne uprave preneseni na Općinu“, zamjenjuju se riječima:“ povjereni poslovi državne uprave“.</w:t>
      </w:r>
    </w:p>
    <w:p w14:paraId="52ABE9B8" w14:textId="77777777" w:rsidR="00B344A7" w:rsidRPr="009439B1" w:rsidRDefault="00B344A7" w:rsidP="008D2F3F">
      <w:pPr>
        <w:tabs>
          <w:tab w:val="left" w:pos="709"/>
          <w:tab w:val="left" w:pos="7088"/>
        </w:tabs>
        <w:rPr>
          <w:color w:val="000000" w:themeColor="text1"/>
          <w:sz w:val="22"/>
          <w:szCs w:val="22"/>
        </w:rPr>
      </w:pPr>
    </w:p>
    <w:p w14:paraId="2832205F" w14:textId="77777777" w:rsidR="00B344A7" w:rsidRPr="009439B1" w:rsidRDefault="008B775C" w:rsidP="00B344A7">
      <w:pPr>
        <w:tabs>
          <w:tab w:val="left" w:pos="709"/>
          <w:tab w:val="left" w:pos="7088"/>
        </w:tabs>
        <w:jc w:val="center"/>
        <w:rPr>
          <w:color w:val="000000" w:themeColor="text1"/>
          <w:sz w:val="22"/>
          <w:szCs w:val="22"/>
        </w:rPr>
      </w:pPr>
      <w:r w:rsidRPr="009439B1">
        <w:rPr>
          <w:color w:val="000000" w:themeColor="text1"/>
          <w:sz w:val="22"/>
          <w:szCs w:val="22"/>
        </w:rPr>
        <w:t>Članak 7</w:t>
      </w:r>
      <w:r w:rsidR="00B344A7" w:rsidRPr="009439B1">
        <w:rPr>
          <w:color w:val="000000" w:themeColor="text1"/>
          <w:sz w:val="22"/>
          <w:szCs w:val="22"/>
        </w:rPr>
        <w:t>.</w:t>
      </w:r>
    </w:p>
    <w:p w14:paraId="26109EE6" w14:textId="77777777" w:rsidR="00B344A7" w:rsidRPr="009439B1" w:rsidRDefault="00B344A7" w:rsidP="00B344A7">
      <w:pPr>
        <w:spacing w:after="113" w:line="313" w:lineRule="atLeast"/>
        <w:rPr>
          <w:color w:val="000000" w:themeColor="text1"/>
          <w:sz w:val="22"/>
          <w:szCs w:val="22"/>
        </w:rPr>
      </w:pPr>
      <w:r w:rsidRPr="009439B1">
        <w:rPr>
          <w:color w:val="000000" w:themeColor="text1"/>
          <w:sz w:val="22"/>
          <w:szCs w:val="22"/>
        </w:rPr>
        <w:t>Članak 65</w:t>
      </w:r>
      <w:r w:rsidR="00A16197" w:rsidRPr="009439B1">
        <w:rPr>
          <w:color w:val="000000" w:themeColor="text1"/>
          <w:sz w:val="22"/>
          <w:szCs w:val="22"/>
        </w:rPr>
        <w:t>.</w:t>
      </w:r>
      <w:r w:rsidRPr="009439B1">
        <w:rPr>
          <w:color w:val="000000" w:themeColor="text1"/>
          <w:sz w:val="22"/>
          <w:szCs w:val="22"/>
        </w:rPr>
        <w:t xml:space="preserve"> mijenja se i glasi:“</w:t>
      </w:r>
      <w:r w:rsidRPr="009439B1">
        <w:rPr>
          <w:color w:val="414145"/>
          <w:sz w:val="22"/>
          <w:szCs w:val="22"/>
        </w:rPr>
        <w:t xml:space="preserve"> </w:t>
      </w:r>
      <w:r w:rsidRPr="009439B1">
        <w:rPr>
          <w:color w:val="000000" w:themeColor="text1"/>
          <w:sz w:val="22"/>
          <w:szCs w:val="22"/>
        </w:rPr>
        <w:t>Vijeće mjesnog odbora biraju građani s područja mjesnog odbora koji imaju biračko pravo.</w:t>
      </w:r>
    </w:p>
    <w:p w14:paraId="66ACB4D8" w14:textId="77777777" w:rsidR="00B344A7" w:rsidRPr="009439B1" w:rsidRDefault="00B344A7" w:rsidP="00B344A7">
      <w:pPr>
        <w:spacing w:after="113" w:line="313" w:lineRule="atLeast"/>
        <w:rPr>
          <w:color w:val="000000" w:themeColor="text1"/>
          <w:sz w:val="22"/>
          <w:szCs w:val="22"/>
        </w:rPr>
      </w:pPr>
      <w:r w:rsidRPr="009439B1">
        <w:rPr>
          <w:color w:val="000000" w:themeColor="text1"/>
          <w:sz w:val="22"/>
          <w:szCs w:val="22"/>
        </w:rPr>
        <w:t>Za člana vijeća mjesnog odbora može biti biran građanin koji ima biračko pravo i prebivalište na području mjesnog odbora čije se vijeće bira.</w:t>
      </w:r>
    </w:p>
    <w:p w14:paraId="0AA2B3C4" w14:textId="77777777" w:rsidR="00B344A7" w:rsidRPr="009439B1" w:rsidRDefault="00B344A7" w:rsidP="00B344A7">
      <w:pPr>
        <w:spacing w:after="113" w:line="313" w:lineRule="atLeast"/>
        <w:rPr>
          <w:color w:val="000000" w:themeColor="text1"/>
          <w:sz w:val="22"/>
          <w:szCs w:val="22"/>
        </w:rPr>
      </w:pPr>
      <w:r w:rsidRPr="009439B1">
        <w:rPr>
          <w:color w:val="000000" w:themeColor="text1"/>
          <w:sz w:val="22"/>
          <w:szCs w:val="22"/>
        </w:rPr>
        <w:t>Članovi vijeća mjesnog odbora biraju se na neposrednim izborima, tajnim glasovanjem, razmjernim izbornim sustavom. Postupak izbora članova vijeća mjesnog odb</w:t>
      </w:r>
      <w:r w:rsidR="00A16197" w:rsidRPr="009439B1">
        <w:rPr>
          <w:color w:val="000000" w:themeColor="text1"/>
          <w:sz w:val="22"/>
          <w:szCs w:val="22"/>
        </w:rPr>
        <w:t>ora uređuje Općinsko vijeće</w:t>
      </w:r>
      <w:r w:rsidRPr="009439B1">
        <w:rPr>
          <w:color w:val="000000" w:themeColor="text1"/>
          <w:sz w:val="22"/>
          <w:szCs w:val="22"/>
        </w:rPr>
        <w:t xml:space="preserve"> općim </w:t>
      </w:r>
      <w:r w:rsidRPr="009439B1">
        <w:rPr>
          <w:color w:val="000000" w:themeColor="text1"/>
          <w:sz w:val="22"/>
          <w:szCs w:val="22"/>
        </w:rPr>
        <w:lastRenderedPageBreak/>
        <w:t>aktom, odgovarajućom primjenom odredaba zakona kojim se uređuje izbor članova predstavničkih tijela jedinica lokalne samouprave.</w:t>
      </w:r>
    </w:p>
    <w:p w14:paraId="1ED70BE5" w14:textId="77777777" w:rsidR="00B344A7" w:rsidRPr="009439B1" w:rsidRDefault="00B344A7" w:rsidP="00B344A7">
      <w:pPr>
        <w:spacing w:after="113" w:line="313" w:lineRule="atLeast"/>
        <w:rPr>
          <w:color w:val="000000" w:themeColor="text1"/>
          <w:sz w:val="22"/>
          <w:szCs w:val="22"/>
        </w:rPr>
      </w:pPr>
      <w:r w:rsidRPr="009439B1">
        <w:rPr>
          <w:color w:val="000000" w:themeColor="text1"/>
          <w:sz w:val="22"/>
          <w:szCs w:val="22"/>
        </w:rPr>
        <w:t>Mandat članova vijeća mjesnog odbora traje četiri godine.</w:t>
      </w:r>
    </w:p>
    <w:p w14:paraId="3AF011AE" w14:textId="77777777" w:rsidR="00A16197" w:rsidRPr="009439B1" w:rsidRDefault="00A16197" w:rsidP="00B344A7">
      <w:pPr>
        <w:spacing w:after="113" w:line="313" w:lineRule="atLeast"/>
        <w:rPr>
          <w:color w:val="000000" w:themeColor="text1"/>
          <w:sz w:val="22"/>
          <w:szCs w:val="22"/>
        </w:rPr>
      </w:pPr>
    </w:p>
    <w:p w14:paraId="26E3109C" w14:textId="77777777" w:rsidR="00A16197" w:rsidRPr="009439B1" w:rsidRDefault="008B775C" w:rsidP="00A16197">
      <w:pPr>
        <w:spacing w:after="113" w:line="313" w:lineRule="atLeast"/>
        <w:jc w:val="center"/>
        <w:rPr>
          <w:color w:val="000000" w:themeColor="text1"/>
          <w:sz w:val="22"/>
          <w:szCs w:val="22"/>
        </w:rPr>
      </w:pPr>
      <w:r w:rsidRPr="009439B1">
        <w:rPr>
          <w:color w:val="000000" w:themeColor="text1"/>
          <w:sz w:val="22"/>
          <w:szCs w:val="22"/>
        </w:rPr>
        <w:t>Članak 8</w:t>
      </w:r>
      <w:r w:rsidR="00A16197" w:rsidRPr="009439B1">
        <w:rPr>
          <w:color w:val="000000" w:themeColor="text1"/>
          <w:sz w:val="22"/>
          <w:szCs w:val="22"/>
        </w:rPr>
        <w:t>.</w:t>
      </w:r>
    </w:p>
    <w:p w14:paraId="700106B0" w14:textId="77777777" w:rsidR="00A16197" w:rsidRPr="009439B1" w:rsidRDefault="00A16197" w:rsidP="00A16197">
      <w:pPr>
        <w:spacing w:after="113" w:line="313" w:lineRule="atLeast"/>
        <w:rPr>
          <w:color w:val="000000" w:themeColor="text1"/>
          <w:sz w:val="22"/>
          <w:szCs w:val="22"/>
        </w:rPr>
      </w:pPr>
      <w:r w:rsidRPr="009439B1">
        <w:rPr>
          <w:color w:val="000000" w:themeColor="text1"/>
          <w:sz w:val="22"/>
          <w:szCs w:val="22"/>
        </w:rPr>
        <w:t>Iza članka 65. dodaje se članak 65 a. koji glasi:“</w:t>
      </w:r>
      <w:r w:rsidRPr="009439B1">
        <w:rPr>
          <w:color w:val="414145"/>
          <w:sz w:val="22"/>
          <w:szCs w:val="22"/>
        </w:rPr>
        <w:t xml:space="preserve"> </w:t>
      </w:r>
      <w:r w:rsidRPr="009439B1">
        <w:rPr>
          <w:color w:val="000000" w:themeColor="text1"/>
          <w:sz w:val="22"/>
          <w:szCs w:val="22"/>
        </w:rPr>
        <w:t>Prigovore zbog nepravilnosti u postupku kandidiranja i izbora članova vijeća mjesnih odbora rješava nadležno izborno povjerenstvo, utvrđeno o</w:t>
      </w:r>
      <w:r w:rsidR="00475C6B" w:rsidRPr="009439B1">
        <w:rPr>
          <w:color w:val="000000" w:themeColor="text1"/>
          <w:sz w:val="22"/>
          <w:szCs w:val="22"/>
        </w:rPr>
        <w:t>pćim aktom Općinskog vijeća</w:t>
      </w:r>
      <w:r w:rsidRPr="009439B1">
        <w:rPr>
          <w:color w:val="000000" w:themeColor="text1"/>
          <w:sz w:val="22"/>
          <w:szCs w:val="22"/>
        </w:rPr>
        <w:t>.</w:t>
      </w:r>
    </w:p>
    <w:p w14:paraId="726A7BDB" w14:textId="77777777" w:rsidR="00A16197" w:rsidRPr="009439B1" w:rsidRDefault="00A16197" w:rsidP="00A16197">
      <w:pPr>
        <w:spacing w:after="113" w:line="313" w:lineRule="atLeast"/>
        <w:rPr>
          <w:color w:val="000000" w:themeColor="text1"/>
          <w:sz w:val="22"/>
          <w:szCs w:val="22"/>
        </w:rPr>
      </w:pPr>
      <w:r w:rsidRPr="009439B1">
        <w:rPr>
          <w:color w:val="000000" w:themeColor="text1"/>
          <w:sz w:val="22"/>
          <w:szCs w:val="22"/>
        </w:rPr>
        <w:t>Protiv rješenja nadležnog izbornog povjerenstva podnositelj prigovora koji je nezadovoljan takvim rješenjem, ima pravo žalbe nadležnom upravnom tijelu u Zadarskoj županiji.</w:t>
      </w:r>
    </w:p>
    <w:p w14:paraId="7A1E6C61" w14:textId="77777777" w:rsidR="008D2F3F" w:rsidRPr="009439B1" w:rsidRDefault="008D2F3F" w:rsidP="008D2F3F">
      <w:pPr>
        <w:tabs>
          <w:tab w:val="left" w:pos="709"/>
          <w:tab w:val="left" w:pos="7088"/>
        </w:tabs>
        <w:rPr>
          <w:color w:val="000000" w:themeColor="text1"/>
          <w:sz w:val="22"/>
          <w:szCs w:val="22"/>
        </w:rPr>
      </w:pPr>
    </w:p>
    <w:p w14:paraId="7C30ADC3" w14:textId="77777777" w:rsidR="00875EA4" w:rsidRPr="009439B1" w:rsidRDefault="00875EA4" w:rsidP="008D2F3F">
      <w:pPr>
        <w:tabs>
          <w:tab w:val="left" w:pos="709"/>
          <w:tab w:val="left" w:pos="7088"/>
        </w:tabs>
        <w:rPr>
          <w:color w:val="000000" w:themeColor="text1"/>
          <w:sz w:val="22"/>
          <w:szCs w:val="22"/>
        </w:rPr>
      </w:pPr>
    </w:p>
    <w:p w14:paraId="7286FAA9" w14:textId="77777777" w:rsidR="00875EA4" w:rsidRPr="009439B1" w:rsidRDefault="008B775C" w:rsidP="00875EA4">
      <w:pPr>
        <w:tabs>
          <w:tab w:val="left" w:pos="709"/>
          <w:tab w:val="left" w:pos="7088"/>
        </w:tabs>
        <w:jc w:val="center"/>
        <w:rPr>
          <w:color w:val="000000" w:themeColor="text1"/>
          <w:sz w:val="22"/>
          <w:szCs w:val="22"/>
        </w:rPr>
      </w:pPr>
      <w:r w:rsidRPr="009439B1">
        <w:rPr>
          <w:color w:val="000000" w:themeColor="text1"/>
          <w:sz w:val="22"/>
          <w:szCs w:val="22"/>
        </w:rPr>
        <w:t>Članak 9</w:t>
      </w:r>
      <w:r w:rsidR="00875EA4" w:rsidRPr="009439B1">
        <w:rPr>
          <w:color w:val="000000" w:themeColor="text1"/>
          <w:sz w:val="22"/>
          <w:szCs w:val="22"/>
        </w:rPr>
        <w:t>.</w:t>
      </w:r>
    </w:p>
    <w:p w14:paraId="3F4B2A18" w14:textId="77777777" w:rsidR="00875EA4" w:rsidRPr="009439B1" w:rsidRDefault="00875EA4" w:rsidP="00875EA4">
      <w:pPr>
        <w:tabs>
          <w:tab w:val="left" w:pos="709"/>
          <w:tab w:val="left" w:pos="7088"/>
        </w:tabs>
        <w:jc w:val="center"/>
        <w:rPr>
          <w:color w:val="000000" w:themeColor="text1"/>
          <w:sz w:val="22"/>
          <w:szCs w:val="22"/>
        </w:rPr>
      </w:pPr>
    </w:p>
    <w:p w14:paraId="419AA892" w14:textId="77777777" w:rsidR="00875EA4" w:rsidRPr="009439B1" w:rsidRDefault="00875EA4" w:rsidP="00875EA4">
      <w:pPr>
        <w:tabs>
          <w:tab w:val="left" w:pos="709"/>
          <w:tab w:val="left" w:pos="7088"/>
        </w:tabs>
        <w:rPr>
          <w:color w:val="000000" w:themeColor="text1"/>
          <w:sz w:val="22"/>
          <w:szCs w:val="22"/>
        </w:rPr>
      </w:pPr>
      <w:r w:rsidRPr="009439B1">
        <w:rPr>
          <w:color w:val="000000" w:themeColor="text1"/>
          <w:sz w:val="22"/>
          <w:szCs w:val="22"/>
        </w:rPr>
        <w:t>Članak 90. mijenja se i glasi:“Nadzor zakonitosti rada Općinskog vijeća  obavlja tijelo državne uprave nadležno za lokalnu i područnu (regionalnu) samoupravu“.</w:t>
      </w:r>
    </w:p>
    <w:p w14:paraId="6541B850" w14:textId="77777777" w:rsidR="00875EA4" w:rsidRPr="009439B1" w:rsidRDefault="00875EA4" w:rsidP="00875EA4">
      <w:pPr>
        <w:tabs>
          <w:tab w:val="left" w:pos="709"/>
          <w:tab w:val="left" w:pos="7088"/>
        </w:tabs>
        <w:rPr>
          <w:color w:val="000000" w:themeColor="text1"/>
          <w:sz w:val="22"/>
          <w:szCs w:val="22"/>
        </w:rPr>
      </w:pPr>
    </w:p>
    <w:p w14:paraId="2548B5A6" w14:textId="77777777" w:rsidR="00875EA4" w:rsidRPr="009439B1" w:rsidRDefault="00875EA4" w:rsidP="00875EA4">
      <w:pPr>
        <w:spacing w:after="113" w:line="313" w:lineRule="atLeast"/>
        <w:rPr>
          <w:color w:val="000000" w:themeColor="text1"/>
          <w:sz w:val="22"/>
          <w:szCs w:val="22"/>
        </w:rPr>
      </w:pPr>
      <w:r w:rsidRPr="009439B1">
        <w:rPr>
          <w:color w:val="000000" w:themeColor="text1"/>
          <w:sz w:val="22"/>
          <w:szCs w:val="22"/>
        </w:rPr>
        <w:t>Nadzor zakonitosti općih akata koje u samoupravnom djelokrugu donosi Općinsko vijeće obavljaju nadležna tijela državne uprave, svako u svojem djelokrugu, sukladno posebnom zakonu.</w:t>
      </w:r>
    </w:p>
    <w:p w14:paraId="716D59F3" w14:textId="77777777" w:rsidR="00875EA4" w:rsidRPr="009439B1" w:rsidRDefault="00875EA4" w:rsidP="00875EA4">
      <w:pPr>
        <w:spacing w:after="113" w:line="313" w:lineRule="atLeast"/>
        <w:rPr>
          <w:color w:val="000000" w:themeColor="text1"/>
          <w:sz w:val="22"/>
          <w:szCs w:val="22"/>
        </w:rPr>
      </w:pPr>
      <w:r w:rsidRPr="009439B1">
        <w:rPr>
          <w:color w:val="000000" w:themeColor="text1"/>
          <w:sz w:val="22"/>
          <w:szCs w:val="22"/>
        </w:rPr>
        <w:t>Predsjednik Općinskog vijeća dužan je dostaviti statut, poslovnik, proračun ili drugi opći akt (u daljnjem tekstu: opći akt) nadležnom tijelu državne uprave u čijem je djelokrugu opći akt zajedno sa izvatkom iz zapisnika koji se odnosi na postupak donošenja općeg akta propisan statutom i poslovnikom, u roku od 15 dana od dana donošenja općeg akta.</w:t>
      </w:r>
    </w:p>
    <w:p w14:paraId="0B20A568" w14:textId="77777777" w:rsidR="00313BD0" w:rsidRPr="009439B1" w:rsidRDefault="00313BD0" w:rsidP="00875EA4">
      <w:pPr>
        <w:spacing w:after="113" w:line="313" w:lineRule="atLeast"/>
        <w:rPr>
          <w:color w:val="000000" w:themeColor="text1"/>
          <w:sz w:val="22"/>
          <w:szCs w:val="22"/>
        </w:rPr>
      </w:pPr>
    </w:p>
    <w:p w14:paraId="7E76506F" w14:textId="77777777" w:rsidR="00875EA4" w:rsidRPr="009439B1" w:rsidRDefault="0023205D" w:rsidP="00875EA4">
      <w:pPr>
        <w:spacing w:after="113" w:line="313" w:lineRule="atLeast"/>
        <w:jc w:val="center"/>
        <w:rPr>
          <w:color w:val="000000" w:themeColor="text1"/>
          <w:sz w:val="22"/>
          <w:szCs w:val="22"/>
        </w:rPr>
      </w:pPr>
      <w:r w:rsidRPr="009439B1">
        <w:rPr>
          <w:color w:val="000000" w:themeColor="text1"/>
          <w:sz w:val="22"/>
          <w:szCs w:val="22"/>
        </w:rPr>
        <w:t xml:space="preserve">Članak </w:t>
      </w:r>
      <w:r w:rsidR="008B775C" w:rsidRPr="009439B1">
        <w:rPr>
          <w:color w:val="000000" w:themeColor="text1"/>
          <w:sz w:val="22"/>
          <w:szCs w:val="22"/>
        </w:rPr>
        <w:t>10</w:t>
      </w:r>
      <w:r w:rsidR="00875EA4" w:rsidRPr="009439B1">
        <w:rPr>
          <w:color w:val="000000" w:themeColor="text1"/>
          <w:sz w:val="22"/>
          <w:szCs w:val="22"/>
        </w:rPr>
        <w:t>.</w:t>
      </w:r>
    </w:p>
    <w:p w14:paraId="1BF8A15F" w14:textId="77777777" w:rsidR="00875EA4" w:rsidRPr="009439B1" w:rsidRDefault="00875EA4" w:rsidP="00875EA4">
      <w:pPr>
        <w:spacing w:after="113" w:line="313" w:lineRule="atLeast"/>
        <w:rPr>
          <w:color w:val="000000" w:themeColor="text1"/>
          <w:sz w:val="22"/>
          <w:szCs w:val="22"/>
        </w:rPr>
      </w:pPr>
      <w:r w:rsidRPr="009439B1">
        <w:rPr>
          <w:color w:val="000000" w:themeColor="text1"/>
          <w:sz w:val="22"/>
          <w:szCs w:val="22"/>
        </w:rPr>
        <w:t>U cijelom tekstu Satuta Općine Škabrnja</w:t>
      </w:r>
      <w:r w:rsidR="00C23030" w:rsidRPr="009439B1">
        <w:rPr>
          <w:color w:val="000000" w:themeColor="text1"/>
          <w:sz w:val="22"/>
          <w:szCs w:val="22"/>
        </w:rPr>
        <w:t xml:space="preserve"> </w:t>
      </w:r>
      <w:r w:rsidRPr="009439B1">
        <w:rPr>
          <w:color w:val="000000" w:themeColor="text1"/>
          <w:sz w:val="22"/>
          <w:szCs w:val="22"/>
        </w:rPr>
        <w:t>(„Službeni glasnik Općine Škabrnja“ br. 02/13 i 01/18), riječi:“središnje tijelo državne uprave“, zamjenjuju se riječima</w:t>
      </w:r>
      <w:r w:rsidR="00E50564" w:rsidRPr="009439B1">
        <w:rPr>
          <w:color w:val="000000" w:themeColor="text1"/>
          <w:sz w:val="22"/>
          <w:szCs w:val="22"/>
        </w:rPr>
        <w:t>:“tijelo državne uprave“</w:t>
      </w:r>
    </w:p>
    <w:p w14:paraId="2C53747B" w14:textId="77777777" w:rsidR="00E50564" w:rsidRPr="009439B1" w:rsidRDefault="00E50564" w:rsidP="00875EA4">
      <w:pPr>
        <w:spacing w:after="113" w:line="313" w:lineRule="atLeast"/>
        <w:rPr>
          <w:color w:val="000000" w:themeColor="text1"/>
          <w:sz w:val="22"/>
          <w:szCs w:val="22"/>
        </w:rPr>
      </w:pPr>
    </w:p>
    <w:p w14:paraId="18A86AA7" w14:textId="77777777" w:rsidR="00E50564" w:rsidRPr="009439B1" w:rsidRDefault="008B775C" w:rsidP="00E50564">
      <w:pPr>
        <w:spacing w:after="113" w:line="313" w:lineRule="atLeast"/>
        <w:jc w:val="center"/>
        <w:rPr>
          <w:color w:val="000000" w:themeColor="text1"/>
          <w:sz w:val="22"/>
          <w:szCs w:val="22"/>
        </w:rPr>
      </w:pPr>
      <w:r w:rsidRPr="009439B1">
        <w:rPr>
          <w:color w:val="000000" w:themeColor="text1"/>
          <w:sz w:val="22"/>
          <w:szCs w:val="22"/>
        </w:rPr>
        <w:t>Članak 11</w:t>
      </w:r>
      <w:r w:rsidR="00E50564" w:rsidRPr="009439B1">
        <w:rPr>
          <w:color w:val="000000" w:themeColor="text1"/>
          <w:sz w:val="22"/>
          <w:szCs w:val="22"/>
        </w:rPr>
        <w:t>.</w:t>
      </w:r>
    </w:p>
    <w:p w14:paraId="10104597" w14:textId="77777777" w:rsidR="00E50564" w:rsidRPr="009439B1" w:rsidRDefault="00E50564" w:rsidP="00E50564">
      <w:pPr>
        <w:spacing w:after="113" w:line="313" w:lineRule="atLeast"/>
        <w:rPr>
          <w:color w:val="000000" w:themeColor="text1"/>
          <w:sz w:val="22"/>
          <w:szCs w:val="22"/>
        </w:rPr>
      </w:pPr>
      <w:r w:rsidRPr="009439B1">
        <w:rPr>
          <w:color w:val="000000" w:themeColor="text1"/>
          <w:sz w:val="22"/>
          <w:szCs w:val="22"/>
        </w:rPr>
        <w:t>Ova Odluka stupa na snagu osmog dana od dana objave u“ Službenom glasniku Općine Škabrnja“</w:t>
      </w:r>
    </w:p>
    <w:p w14:paraId="4E3E3526" w14:textId="77777777" w:rsidR="00875EA4" w:rsidRPr="00A75364" w:rsidRDefault="00875EA4" w:rsidP="009439B1">
      <w:pPr>
        <w:spacing w:after="113" w:line="313" w:lineRule="atLeast"/>
        <w:rPr>
          <w:color w:val="000000" w:themeColor="text1"/>
        </w:rPr>
      </w:pPr>
    </w:p>
    <w:p w14:paraId="2CD6D54A" w14:textId="77777777" w:rsidR="009439B1" w:rsidRDefault="009439B1" w:rsidP="009439B1">
      <w:pPr>
        <w:jc w:val="center"/>
      </w:pPr>
      <w:r>
        <w:t>OPĆINSKO  VIJEĆE  OPĆINE  ŠKABRNJA</w:t>
      </w:r>
    </w:p>
    <w:p w14:paraId="48C14343" w14:textId="77777777" w:rsidR="009439B1" w:rsidRDefault="009439B1" w:rsidP="009439B1"/>
    <w:p w14:paraId="21E4773B" w14:textId="0A9F3E76" w:rsidR="009439B1" w:rsidRDefault="009439B1" w:rsidP="009439B1">
      <w:pPr>
        <w:jc w:val="center"/>
      </w:pPr>
      <w:r>
        <w:t xml:space="preserve">                                                                                                         PREDSJEDNIK</w:t>
      </w:r>
    </w:p>
    <w:p w14:paraId="0CD152E2" w14:textId="74435329" w:rsidR="009439B1" w:rsidRDefault="009439B1" w:rsidP="009439B1">
      <w:pPr>
        <w:jc w:val="right"/>
      </w:pPr>
      <w:r>
        <w:t xml:space="preserve">Marko  Ivković, </w:t>
      </w:r>
      <w:proofErr w:type="spellStart"/>
      <w:r>
        <w:t>dipl.ing.agr</w:t>
      </w:r>
      <w:proofErr w:type="spellEnd"/>
    </w:p>
    <w:p w14:paraId="1FFE0855" w14:textId="77777777" w:rsidR="009439B1" w:rsidRDefault="009439B1" w:rsidP="009439B1">
      <w:pPr>
        <w:jc w:val="right"/>
      </w:pPr>
    </w:p>
    <w:p w14:paraId="4EFBABA7" w14:textId="77777777" w:rsidR="00E66614" w:rsidRPr="00E66614" w:rsidRDefault="00E66614" w:rsidP="001849E7">
      <w:pPr>
        <w:tabs>
          <w:tab w:val="left" w:pos="709"/>
          <w:tab w:val="left" w:pos="7088"/>
        </w:tabs>
        <w:rPr>
          <w:color w:val="000000" w:themeColor="text1"/>
        </w:rPr>
      </w:pPr>
    </w:p>
    <w:sectPr w:rsidR="00E66614" w:rsidRPr="00E66614" w:rsidSect="004A3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49E7"/>
    <w:rsid w:val="00012100"/>
    <w:rsid w:val="00070555"/>
    <w:rsid w:val="00081C68"/>
    <w:rsid w:val="001849E7"/>
    <w:rsid w:val="001C21E1"/>
    <w:rsid w:val="002134CA"/>
    <w:rsid w:val="0023205D"/>
    <w:rsid w:val="00313BD0"/>
    <w:rsid w:val="004220F2"/>
    <w:rsid w:val="00475C6B"/>
    <w:rsid w:val="004A38B2"/>
    <w:rsid w:val="006D4C04"/>
    <w:rsid w:val="00875EA4"/>
    <w:rsid w:val="008B775C"/>
    <w:rsid w:val="008D2F3F"/>
    <w:rsid w:val="009439B1"/>
    <w:rsid w:val="00A16197"/>
    <w:rsid w:val="00A7038E"/>
    <w:rsid w:val="00B344A7"/>
    <w:rsid w:val="00C23030"/>
    <w:rsid w:val="00DC7FEA"/>
    <w:rsid w:val="00E50564"/>
    <w:rsid w:val="00E66614"/>
    <w:rsid w:val="00F6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F5575"/>
  <w15:docId w15:val="{219328EE-69B0-4469-8677-82E0C658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64" TargetMode="External"/><Relationship Id="rId13" Type="http://schemas.openxmlformats.org/officeDocument/2006/relationships/hyperlink" Target="https://www.zakon.hr/cms.htm?id=285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zakon.hr/cms.htm?id=263" TargetMode="External"/><Relationship Id="rId12" Type="http://schemas.openxmlformats.org/officeDocument/2006/relationships/hyperlink" Target="https://www.zakon.hr/cms.htm?id=268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zakon.hr/cms.htm?id=4076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262" TargetMode="External"/><Relationship Id="rId11" Type="http://schemas.openxmlformats.org/officeDocument/2006/relationships/hyperlink" Target="https://www.zakon.hr/cms.htm?id=267" TargetMode="External"/><Relationship Id="rId5" Type="http://schemas.openxmlformats.org/officeDocument/2006/relationships/hyperlink" Target="https://www.zakon.hr/cms.htm?id=261" TargetMode="External"/><Relationship Id="rId15" Type="http://schemas.openxmlformats.org/officeDocument/2006/relationships/hyperlink" Target="https://www.zakon.hr/cms.htm?id=26157" TargetMode="External"/><Relationship Id="rId10" Type="http://schemas.openxmlformats.org/officeDocument/2006/relationships/hyperlink" Target="https://www.zakon.hr/cms.htm?id=266" TargetMode="External"/><Relationship Id="rId4" Type="http://schemas.openxmlformats.org/officeDocument/2006/relationships/hyperlink" Target="https://www.zakon.hr/cms.htm?id=260" TargetMode="External"/><Relationship Id="rId9" Type="http://schemas.openxmlformats.org/officeDocument/2006/relationships/hyperlink" Target="https://www.zakon.hr/cms.htm?id=265" TargetMode="External"/><Relationship Id="rId14" Type="http://schemas.openxmlformats.org/officeDocument/2006/relationships/hyperlink" Target="https://www.zakon.hr/cms.htm?id=15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Borna</dc:creator>
  <cp:lastModifiedBy>Silvija Bilaver</cp:lastModifiedBy>
  <cp:revision>9</cp:revision>
  <dcterms:created xsi:type="dcterms:W3CDTF">2020-02-21T16:50:00Z</dcterms:created>
  <dcterms:modified xsi:type="dcterms:W3CDTF">2020-03-06T11:24:00Z</dcterms:modified>
</cp:coreProperties>
</file>